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EB" w:rsidRPr="00661CEB" w:rsidRDefault="00661CEB" w:rsidP="00661CEB">
      <w:pPr>
        <w:shd w:val="clear" w:color="auto" w:fill="FFFFFF"/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Na temelju članka 18. Zakona o grobljima (Narodne novine broj 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19/98.), članka 11., 12., 13. i 14. Odluke o grobljima (Službeni 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glasnik općine Brckovljani broj 4/99.) i članka 48. Statuta općine Brckovljani 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broj 7/97.) Poglavarstvo općine Brckovljani na 42. sjednici 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održanoj 02. veljače 2001. godine donijelo je </w:t>
      </w:r>
    </w:p>
    <w:p w:rsidR="00661CEB" w:rsidRPr="00661CEB" w:rsidRDefault="00661CEB" w:rsidP="00661CEB">
      <w:pPr>
        <w:shd w:val="clear" w:color="auto" w:fill="FFFFFF"/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naknadi kod dodjele grobnog mjesta i godišnje grobne </w:t>
      </w: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naknade za korištenje grobnog mjesta</w:t>
      </w:r>
    </w:p>
    <w:p w:rsidR="00661CEB" w:rsidRPr="00661CEB" w:rsidRDefault="00661CEB" w:rsidP="00661CEB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Ovom Odlukom određuje se visina naknade kod dodjele grobnog mjesta i godišnje grobne naknade za korištenje grobnog mjesta na grobljima u Brckovljanima i Lupoglavu.</w:t>
      </w:r>
    </w:p>
    <w:p w:rsidR="00661CEB" w:rsidRPr="00661CEB" w:rsidRDefault="00661CEB" w:rsidP="00661CEB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Visina naknade kod dodjele grobnog mjesta na starom dijelu groblja u Brckovljanima i Lupoglavu određuje se u iznosu: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5"/>
        <w:gridCol w:w="3357"/>
      </w:tblGrid>
      <w:tr w:rsidR="00661CEB" w:rsidRPr="00661CEB" w:rsidTr="00661CEB">
        <w:trPr>
          <w:tblCellSpacing w:w="0" w:type="dxa"/>
        </w:trPr>
        <w:tc>
          <w:tcPr>
            <w:tcW w:w="3150" w:type="pct"/>
            <w:shd w:val="clear" w:color="auto" w:fill="FFFFFF"/>
            <w:hideMark/>
          </w:tcPr>
          <w:p w:rsidR="00661CEB" w:rsidRPr="00661CEB" w:rsidRDefault="00661CEB" w:rsidP="00661CEB">
            <w:pPr>
              <w:spacing w:before="15" w:after="15" w:line="240" w:lineRule="auto"/>
              <w:ind w:left="2250" w:hanging="225"/>
              <w:rPr>
                <w:rFonts w:ascii="Arial" w:eastAsia="Times New Roman" w:hAnsi="Arial" w:cs="Arial"/>
                <w:sz w:val="20"/>
                <w:szCs w:val="20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1. Grobno mjesto širine do 1,30 m, dužine 2,30 m bez okvira (jedno grobno mjesto)</w:t>
            </w:r>
          </w:p>
        </w:tc>
        <w:tc>
          <w:tcPr>
            <w:tcW w:w="1850" w:type="pct"/>
            <w:shd w:val="clear" w:color="auto" w:fill="FFFFFF"/>
            <w:vAlign w:val="bottom"/>
            <w:hideMark/>
          </w:tcPr>
          <w:p w:rsidR="00661CEB" w:rsidRPr="00661CEB" w:rsidRDefault="00661CEB" w:rsidP="0066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 ............. 700,00 kuna </w:t>
            </w:r>
          </w:p>
        </w:tc>
      </w:tr>
      <w:tr w:rsidR="00661CEB" w:rsidRPr="00661CEB" w:rsidTr="00661CEB">
        <w:trPr>
          <w:tblCellSpacing w:w="0" w:type="dxa"/>
        </w:trPr>
        <w:tc>
          <w:tcPr>
            <w:tcW w:w="3150" w:type="pct"/>
            <w:shd w:val="clear" w:color="auto" w:fill="FFFFFF"/>
            <w:hideMark/>
          </w:tcPr>
          <w:p w:rsidR="00661CEB" w:rsidRPr="00661CEB" w:rsidRDefault="00661CEB" w:rsidP="00661CEB">
            <w:pPr>
              <w:spacing w:before="15" w:after="15" w:line="240" w:lineRule="auto"/>
              <w:ind w:left="2250" w:hanging="225"/>
              <w:rPr>
                <w:rFonts w:ascii="Arial" w:eastAsia="Times New Roman" w:hAnsi="Arial" w:cs="Arial"/>
                <w:sz w:val="20"/>
                <w:szCs w:val="20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2. Grobno mjesto širine od 1,30 m do 2,60 m, dužine 2,30 m bez okvira (dva grobna mjesta)</w:t>
            </w:r>
          </w:p>
        </w:tc>
        <w:tc>
          <w:tcPr>
            <w:tcW w:w="1850" w:type="pct"/>
            <w:shd w:val="clear" w:color="auto" w:fill="FFFFFF"/>
            <w:vAlign w:val="bottom"/>
            <w:hideMark/>
          </w:tcPr>
          <w:p w:rsidR="00661CEB" w:rsidRPr="00661CEB" w:rsidRDefault="00661CEB" w:rsidP="0066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 .......... 1.400,00 kuna </w:t>
            </w:r>
          </w:p>
        </w:tc>
      </w:tr>
      <w:tr w:rsidR="00661CEB" w:rsidRPr="00661CEB" w:rsidTr="00661CEB">
        <w:trPr>
          <w:tblCellSpacing w:w="0" w:type="dxa"/>
        </w:trPr>
        <w:tc>
          <w:tcPr>
            <w:tcW w:w="3150" w:type="pct"/>
            <w:shd w:val="clear" w:color="auto" w:fill="FFFFFF"/>
            <w:hideMark/>
          </w:tcPr>
          <w:p w:rsidR="00661CEB" w:rsidRPr="00661CEB" w:rsidRDefault="00661CEB" w:rsidP="00661CEB">
            <w:pPr>
              <w:spacing w:before="15" w:after="15" w:line="240" w:lineRule="auto"/>
              <w:ind w:left="2250" w:hanging="225"/>
              <w:rPr>
                <w:rFonts w:ascii="Arial" w:eastAsia="Times New Roman" w:hAnsi="Arial" w:cs="Arial"/>
                <w:sz w:val="20"/>
                <w:szCs w:val="20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3. Grobno mjesto širine od 2,60 m do 3,90 m dužine 2,30 m bez okvira (tri grobna mjesta)</w:t>
            </w:r>
          </w:p>
        </w:tc>
        <w:tc>
          <w:tcPr>
            <w:tcW w:w="1850" w:type="pct"/>
            <w:shd w:val="clear" w:color="auto" w:fill="FFFFFF"/>
            <w:vAlign w:val="bottom"/>
            <w:hideMark/>
          </w:tcPr>
          <w:p w:rsidR="00661CEB" w:rsidRPr="00661CEB" w:rsidRDefault="00661CEB" w:rsidP="0066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 .......... 2.100,00 kuna </w:t>
            </w:r>
          </w:p>
        </w:tc>
      </w:tr>
      <w:tr w:rsidR="00661CEB" w:rsidRPr="00661CEB" w:rsidTr="00661CEB">
        <w:trPr>
          <w:tblCellSpacing w:w="0" w:type="dxa"/>
        </w:trPr>
        <w:tc>
          <w:tcPr>
            <w:tcW w:w="3150" w:type="pct"/>
            <w:shd w:val="clear" w:color="auto" w:fill="FFFFFF"/>
            <w:hideMark/>
          </w:tcPr>
          <w:p w:rsidR="00661CEB" w:rsidRPr="00661CEB" w:rsidRDefault="00661CEB" w:rsidP="00661CEB">
            <w:pPr>
              <w:spacing w:before="15" w:after="15" w:line="240" w:lineRule="auto"/>
              <w:ind w:left="2250" w:hanging="225"/>
              <w:rPr>
                <w:rFonts w:ascii="Arial" w:eastAsia="Times New Roman" w:hAnsi="Arial" w:cs="Arial"/>
                <w:sz w:val="20"/>
                <w:szCs w:val="20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4. Grobno mjesto širine od 3,90 m do 5,20 m (četiri grobna mjesta) bez okvira</w:t>
            </w:r>
          </w:p>
        </w:tc>
        <w:tc>
          <w:tcPr>
            <w:tcW w:w="1850" w:type="pct"/>
            <w:shd w:val="clear" w:color="auto" w:fill="FFFFFF"/>
            <w:vAlign w:val="bottom"/>
            <w:hideMark/>
          </w:tcPr>
          <w:p w:rsidR="00661CEB" w:rsidRPr="00661CEB" w:rsidRDefault="00661CEB" w:rsidP="0066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 .......... 2.800,00 kuna </w:t>
            </w:r>
          </w:p>
        </w:tc>
      </w:tr>
    </w:tbl>
    <w:p w:rsidR="00661CEB" w:rsidRPr="00661CEB" w:rsidRDefault="00661CEB" w:rsidP="00661CEB">
      <w:pPr>
        <w:shd w:val="clear" w:color="auto" w:fill="FFFFFF"/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Visina naknade kod dodjele grobnog mjesta na novom dijelu groblja u Brckovljanima i Lupoglavu određuju se: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5"/>
        <w:gridCol w:w="3357"/>
      </w:tblGrid>
      <w:tr w:rsidR="00661CEB" w:rsidRPr="00661CEB" w:rsidTr="00661CEB">
        <w:trPr>
          <w:tblCellSpacing w:w="0" w:type="dxa"/>
        </w:trPr>
        <w:tc>
          <w:tcPr>
            <w:tcW w:w="3150" w:type="pct"/>
            <w:shd w:val="clear" w:color="auto" w:fill="FFFFFF"/>
            <w:vAlign w:val="center"/>
            <w:hideMark/>
          </w:tcPr>
          <w:p w:rsidR="00661CEB" w:rsidRPr="00661CEB" w:rsidRDefault="00661CEB" w:rsidP="00661CEB">
            <w:pPr>
              <w:spacing w:before="15" w:after="15" w:line="240" w:lineRule="auto"/>
              <w:ind w:left="2250" w:hanging="225"/>
              <w:rPr>
                <w:rFonts w:ascii="Arial" w:eastAsia="Times New Roman" w:hAnsi="Arial" w:cs="Arial"/>
                <w:sz w:val="20"/>
                <w:szCs w:val="20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1. Grobno mjesto širine 1,20 m dužine 2,70 m ukupno sa betonskim okvirom bez opločenja za dva ukopa (O-2)</w:t>
            </w:r>
          </w:p>
        </w:tc>
        <w:tc>
          <w:tcPr>
            <w:tcW w:w="1850" w:type="pct"/>
            <w:shd w:val="clear" w:color="auto" w:fill="FFFFFF"/>
            <w:vAlign w:val="bottom"/>
            <w:hideMark/>
          </w:tcPr>
          <w:p w:rsidR="00661CEB" w:rsidRPr="00661CEB" w:rsidRDefault="00661CEB" w:rsidP="0066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CEB">
              <w:rPr>
                <w:rFonts w:ascii="Arial" w:eastAsia="Times New Roman" w:hAnsi="Arial" w:cs="Arial"/>
                <w:sz w:val="24"/>
                <w:szCs w:val="24"/>
              </w:rPr>
              <w:t> ............ </w:t>
            </w: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3.743,60 kuna </w:t>
            </w:r>
          </w:p>
        </w:tc>
      </w:tr>
      <w:tr w:rsidR="00661CEB" w:rsidRPr="00661CEB" w:rsidTr="00661CEB">
        <w:trPr>
          <w:tblCellSpacing w:w="0" w:type="dxa"/>
        </w:trPr>
        <w:tc>
          <w:tcPr>
            <w:tcW w:w="3150" w:type="pct"/>
            <w:shd w:val="clear" w:color="auto" w:fill="FFFFFF"/>
            <w:vAlign w:val="center"/>
            <w:hideMark/>
          </w:tcPr>
          <w:p w:rsidR="00661CEB" w:rsidRPr="00661CEB" w:rsidRDefault="00661CEB" w:rsidP="00661CEB">
            <w:pPr>
              <w:spacing w:before="15" w:after="15" w:line="240" w:lineRule="auto"/>
              <w:ind w:left="2250" w:hanging="225"/>
              <w:rPr>
                <w:rFonts w:ascii="Arial" w:eastAsia="Times New Roman" w:hAnsi="Arial" w:cs="Arial"/>
                <w:sz w:val="20"/>
                <w:szCs w:val="20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2. Grobno mjesto širine 1,92 m dužine 2,70 m ukupno sa betonskim okvirom bez opločenja, za četiri ukopa (O-4)</w:t>
            </w:r>
          </w:p>
        </w:tc>
        <w:tc>
          <w:tcPr>
            <w:tcW w:w="1850" w:type="pct"/>
            <w:shd w:val="clear" w:color="auto" w:fill="FFFFFF"/>
            <w:vAlign w:val="bottom"/>
            <w:hideMark/>
          </w:tcPr>
          <w:p w:rsidR="00661CEB" w:rsidRPr="00661CEB" w:rsidRDefault="00661CEB" w:rsidP="0066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CEB">
              <w:rPr>
                <w:rFonts w:ascii="Arial" w:eastAsia="Times New Roman" w:hAnsi="Arial" w:cs="Arial"/>
                <w:sz w:val="24"/>
                <w:szCs w:val="24"/>
              </w:rPr>
              <w:t> ............ </w:t>
            </w: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4.853,70 kuna </w:t>
            </w:r>
          </w:p>
        </w:tc>
      </w:tr>
      <w:tr w:rsidR="00661CEB" w:rsidRPr="00661CEB" w:rsidTr="00661CEB">
        <w:trPr>
          <w:tblCellSpacing w:w="0" w:type="dxa"/>
        </w:trPr>
        <w:tc>
          <w:tcPr>
            <w:tcW w:w="3150" w:type="pct"/>
            <w:shd w:val="clear" w:color="auto" w:fill="FFFFFF"/>
            <w:vAlign w:val="center"/>
            <w:hideMark/>
          </w:tcPr>
          <w:p w:rsidR="00661CEB" w:rsidRPr="00661CEB" w:rsidRDefault="00661CEB" w:rsidP="00661CEB">
            <w:pPr>
              <w:spacing w:before="15" w:after="15" w:line="240" w:lineRule="auto"/>
              <w:ind w:left="2250" w:hanging="225"/>
              <w:rPr>
                <w:rFonts w:ascii="Arial" w:eastAsia="Times New Roman" w:hAnsi="Arial" w:cs="Arial"/>
                <w:sz w:val="20"/>
                <w:szCs w:val="20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3. Grobno mjesto širine 2,72 m, dužine 2,70 m ukupno sa betonskim okvirom bez opločenja, za šest ukopa (O-6)</w:t>
            </w:r>
          </w:p>
        </w:tc>
        <w:tc>
          <w:tcPr>
            <w:tcW w:w="1850" w:type="pct"/>
            <w:shd w:val="clear" w:color="auto" w:fill="FFFFFF"/>
            <w:vAlign w:val="bottom"/>
            <w:hideMark/>
          </w:tcPr>
          <w:p w:rsidR="00661CEB" w:rsidRPr="00661CEB" w:rsidRDefault="00661CEB" w:rsidP="0066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CEB">
              <w:rPr>
                <w:rFonts w:ascii="Arial" w:eastAsia="Times New Roman" w:hAnsi="Arial" w:cs="Arial"/>
                <w:sz w:val="24"/>
                <w:szCs w:val="24"/>
              </w:rPr>
              <w:t> ............ </w:t>
            </w: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6.107,40 kuna </w:t>
            </w:r>
          </w:p>
        </w:tc>
      </w:tr>
      <w:tr w:rsidR="00661CEB" w:rsidRPr="00661CEB" w:rsidTr="00661CEB">
        <w:trPr>
          <w:tblCellSpacing w:w="0" w:type="dxa"/>
        </w:trPr>
        <w:tc>
          <w:tcPr>
            <w:tcW w:w="3150" w:type="pct"/>
            <w:shd w:val="clear" w:color="auto" w:fill="FFFFFF"/>
            <w:vAlign w:val="center"/>
            <w:hideMark/>
          </w:tcPr>
          <w:p w:rsidR="00661CEB" w:rsidRPr="00661CEB" w:rsidRDefault="00661CEB" w:rsidP="00661CEB">
            <w:pPr>
              <w:spacing w:before="15" w:after="15" w:line="240" w:lineRule="auto"/>
              <w:ind w:left="2250" w:hanging="225"/>
              <w:rPr>
                <w:rFonts w:ascii="Arial" w:eastAsia="Times New Roman" w:hAnsi="Arial" w:cs="Arial"/>
                <w:sz w:val="20"/>
                <w:szCs w:val="20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4. Betonska grobnica bez opločenja za tri ukopa (G-3)</w:t>
            </w:r>
          </w:p>
        </w:tc>
        <w:tc>
          <w:tcPr>
            <w:tcW w:w="1850" w:type="pct"/>
            <w:shd w:val="clear" w:color="auto" w:fill="FFFFFF"/>
            <w:vAlign w:val="bottom"/>
            <w:hideMark/>
          </w:tcPr>
          <w:p w:rsidR="00661CEB" w:rsidRPr="00661CEB" w:rsidRDefault="00661CEB" w:rsidP="0066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CEB">
              <w:rPr>
                <w:rFonts w:ascii="Arial" w:eastAsia="Times New Roman" w:hAnsi="Arial" w:cs="Arial"/>
                <w:sz w:val="24"/>
                <w:szCs w:val="24"/>
              </w:rPr>
              <w:t> .......... </w:t>
            </w: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14.001,30 kuna </w:t>
            </w:r>
          </w:p>
        </w:tc>
      </w:tr>
      <w:tr w:rsidR="00661CEB" w:rsidRPr="00661CEB" w:rsidTr="00661CEB">
        <w:trPr>
          <w:tblCellSpacing w:w="0" w:type="dxa"/>
        </w:trPr>
        <w:tc>
          <w:tcPr>
            <w:tcW w:w="3150" w:type="pct"/>
            <w:shd w:val="clear" w:color="auto" w:fill="FFFFFF"/>
            <w:vAlign w:val="center"/>
            <w:hideMark/>
          </w:tcPr>
          <w:p w:rsidR="00661CEB" w:rsidRPr="00661CEB" w:rsidRDefault="00661CEB" w:rsidP="00661CEB">
            <w:pPr>
              <w:spacing w:before="15" w:after="15" w:line="240" w:lineRule="auto"/>
              <w:ind w:left="2250" w:hanging="225"/>
              <w:rPr>
                <w:rFonts w:ascii="Arial" w:eastAsia="Times New Roman" w:hAnsi="Arial" w:cs="Arial"/>
                <w:sz w:val="20"/>
                <w:szCs w:val="20"/>
              </w:rPr>
            </w:pP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5. Betonska grobnica bez opločenja za šest ukopa (G-6)</w:t>
            </w:r>
          </w:p>
        </w:tc>
        <w:tc>
          <w:tcPr>
            <w:tcW w:w="1850" w:type="pct"/>
            <w:shd w:val="clear" w:color="auto" w:fill="FFFFFF"/>
            <w:vAlign w:val="bottom"/>
            <w:hideMark/>
          </w:tcPr>
          <w:p w:rsidR="00661CEB" w:rsidRPr="00661CEB" w:rsidRDefault="00661CEB" w:rsidP="0066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CEB">
              <w:rPr>
                <w:rFonts w:ascii="Arial" w:eastAsia="Times New Roman" w:hAnsi="Arial" w:cs="Arial"/>
                <w:sz w:val="24"/>
                <w:szCs w:val="24"/>
              </w:rPr>
              <w:t> .......... </w:t>
            </w:r>
            <w:r w:rsidRPr="00661CEB">
              <w:rPr>
                <w:rFonts w:ascii="Arial" w:eastAsia="Times New Roman" w:hAnsi="Arial" w:cs="Arial"/>
                <w:sz w:val="20"/>
                <w:szCs w:val="20"/>
              </w:rPr>
              <w:t>19.375,00 kuna </w:t>
            </w:r>
          </w:p>
        </w:tc>
      </w:tr>
    </w:tbl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Naknadu za dodjelu grobnog mjesta korisnik uplaćuje u rokovima određenim u ispravi o pravu korištenja (ugovor-rješenje), a najkasnije do dana prvog ukopa u predmetni grob.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Rok korištenja grobnog mjesta traje dok korisnik redovno plaća godišnju grobnu naknadu za korištenje grobnog mjesta.</w:t>
      </w:r>
    </w:p>
    <w:p w:rsidR="00661CEB" w:rsidRPr="00661CEB" w:rsidRDefault="00661CEB" w:rsidP="00661CEB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lastRenderedPageBreak/>
        <w:t>Određuje se visina godišnje grobne naknade za korištenje grobnog mjesta u iznosu od 40,00 kuna za jednu grobnu širinu.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Jedna grobna širina smatra se širina grobnog mjesta do 1,30 m, a veći broj širina za pojedinačni grob određuje se prema opisu iz članka 2. stavak 1. točke 1. do 4. i stavak 2. točke 1. do 5. ove Odluke.</w:t>
      </w:r>
    </w:p>
    <w:p w:rsidR="00661CEB" w:rsidRPr="00661CEB" w:rsidRDefault="00661CEB" w:rsidP="00661CEB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Godišnja grobna naknada za korištenje grobnog mjesta je prihod proračuna Općine Brckovljani i namjenjena je za održavanje groblja. 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Obaveza plaćanja godišnje grobne naknade za korištenje grobnog mjesta, visina i način plaćanja za svakog pojedinog korisnika utvrđuje se rješenjem koje donosi Upravni odjel općine Brckovljani.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Ponovno izdavanje rješenja za plaćanje godišnje grobne naknade za korištenje grobnog mjesta izvršit će se u slučaju promjene visine naknade ili drugih podataka iz rješenja te ako obveznik to pismeno zatraži.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Godišnja grobna naknada za korištenje grobnog mjesta naplaćuje se u roku 30 dana od primitka rješenja.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U slučaju neplaćanja naknade u određenom roku obračunat će se zatezne kamate i troškovi prisilne naplate. </w:t>
      </w:r>
    </w:p>
    <w:p w:rsidR="00661CEB" w:rsidRPr="00661CEB" w:rsidRDefault="00661CEB" w:rsidP="00661CEB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Prihodi od naknade kod dodjele grobnog mjesta i godišnje grobne naknade za korištenje grobnog mjesta troše se za uređenje i održavanje groblja prema programu kojeg donosi Poglavarstvo općine Brckovljani.</w:t>
      </w:r>
    </w:p>
    <w:p w:rsidR="00661CEB" w:rsidRPr="00661CEB" w:rsidRDefault="00661CEB" w:rsidP="00661CEB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Grobno mjesto za koje grobna naknada nije plaćena deset godina, smatra se napuštenim i može se ponovno dodijeliti na korištenje, ali tek i nakon proteka petnaest godina od posljednjeg ukopa u grob, odnosno nakon proteka trideset godina od ukopa u grobnicu.</w:t>
      </w:r>
    </w:p>
    <w:p w:rsidR="00661CEB" w:rsidRPr="00661CEB" w:rsidRDefault="00661CEB" w:rsidP="00661CEB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Danom stupanja na snagu ove Odluke prestaje važnost Odluke o naknadi za korištenje grobnih mjesta i naknadi za održavanje groblja (Službeni glasnik općine Brckovljani broj 5/95.) i Odluke o izmjeni odluke o naknadi za korištenje grobnih mjesta i naknadi za održavanje groblja (Službeni glasnik općine Brckovljani broj 5/96.).</w:t>
      </w:r>
    </w:p>
    <w:p w:rsidR="00661CEB" w:rsidRPr="00661CEB" w:rsidRDefault="00661CEB" w:rsidP="00661CEB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661CEB" w:rsidRPr="00661CEB" w:rsidRDefault="00661CEB" w:rsidP="00661CEB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 i objavit će se u službenom glasniku općine Brckovljani.</w:t>
      </w:r>
    </w:p>
    <w:p w:rsidR="00661CEB" w:rsidRPr="00661CEB" w:rsidRDefault="00661CEB" w:rsidP="00661CEB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Predsjednik 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Općinskog poglavarstva 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Općine Brckovljani 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Željko Funtek, v.r. </w:t>
      </w:r>
    </w:p>
    <w:p w:rsidR="00661CEB" w:rsidRPr="00661CEB" w:rsidRDefault="00661CEB" w:rsidP="00661CEB">
      <w:pPr>
        <w:shd w:val="clear" w:color="auto" w:fill="FFFFFF"/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Klasa: 022-05/01-01/48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Ur.broj: 238/04-00-3 </w:t>
      </w:r>
      <w:r w:rsidRPr="00661CEB">
        <w:rPr>
          <w:rFonts w:ascii="Arial" w:eastAsia="Times New Roman" w:hAnsi="Arial" w:cs="Arial"/>
          <w:color w:val="000000"/>
          <w:sz w:val="20"/>
          <w:szCs w:val="20"/>
        </w:rPr>
        <w:br/>
        <w:t>Dugo Selo, 02.02.2001.</w:t>
      </w:r>
    </w:p>
    <w:p w:rsidR="00661CEB" w:rsidRPr="00661CEB" w:rsidRDefault="00661CEB" w:rsidP="00661CEB">
      <w:pPr>
        <w:shd w:val="clear" w:color="auto" w:fill="FFFFFF"/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661CEB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6D5C83" w:rsidRDefault="006D5C83"/>
    <w:sectPr w:rsidR="006D5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661CEB"/>
    <w:rsid w:val="00661CEB"/>
    <w:rsid w:val="006D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66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66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66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66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66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61CEB"/>
  </w:style>
  <w:style w:type="paragraph" w:customStyle="1" w:styleId="predsjednik">
    <w:name w:val="predsjednik"/>
    <w:basedOn w:val="Normal"/>
    <w:rsid w:val="0066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2016-07-19T09:32:00Z</dcterms:created>
  <dcterms:modified xsi:type="dcterms:W3CDTF">2016-07-19T09:32:00Z</dcterms:modified>
</cp:coreProperties>
</file>